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lang w:val="de-DE"/>
        </w:rPr>
      </w:pPr>
      <w:r>
        <w:rPr>
          <w:sz w:val="36"/>
          <w:szCs w:val="36"/>
          <w:lang w:val="de-DE"/>
        </w:rPr>
        <w:t xml:space="preserve">  </w:t>
      </w:r>
    </w:p>
    <w:p>
      <w:pPr>
        <w:pStyle w:val="Normal"/>
        <w:pBdr>
          <w:top w:val="single" w:sz="4" w:space="1" w:color="00000A"/>
          <w:left w:val="single" w:sz="4" w:space="4" w:color="00000A"/>
          <w:bottom w:val="single" w:sz="4" w:space="1" w:color="00000A"/>
          <w:right w:val="single" w:sz="4" w:space="4" w:color="00000A"/>
        </w:pBdr>
        <w:shd w:val="clear" w:color="auto" w:fill="A6A6A6"/>
        <w:jc w:val="center"/>
        <w:rPr>
          <w:b/>
          <w:b/>
          <w:sz w:val="28"/>
          <w:szCs w:val="28"/>
          <w:lang w:val="de-DE"/>
        </w:rPr>
      </w:pPr>
      <w:r>
        <w:rPr>
          <w:b/>
          <w:sz w:val="28"/>
          <w:szCs w:val="28"/>
          <w:lang w:val="de-DE"/>
        </w:rPr>
        <w:t>Einige Informationen für Schülerinnen und Schüler der Jgst. 8</w:t>
      </w:r>
    </w:p>
    <w:p>
      <w:pPr>
        <w:pStyle w:val="Normal"/>
        <w:pBdr>
          <w:top w:val="single" w:sz="4" w:space="1" w:color="00000A"/>
          <w:left w:val="single" w:sz="4" w:space="4" w:color="00000A"/>
          <w:bottom w:val="single" w:sz="4" w:space="1" w:color="00000A"/>
          <w:right w:val="single" w:sz="4" w:space="4" w:color="00000A"/>
        </w:pBdr>
        <w:shd w:val="clear" w:color="auto" w:fill="A6A6A6"/>
        <w:jc w:val="center"/>
        <w:rPr/>
      </w:pPr>
      <w:r>
        <w:rPr>
          <w:b/>
          <w:sz w:val="28"/>
          <w:szCs w:val="28"/>
          <w:lang w:val="de-DE"/>
        </w:rPr>
        <w:t>des Pelizaeus-Gymnasiums zu den Lernstandserhebungen 202</w:t>
      </w:r>
      <w:r>
        <w:rPr>
          <w:b/>
          <w:sz w:val="28"/>
          <w:szCs w:val="28"/>
          <w:lang w:val="de-DE"/>
        </w:rPr>
        <w:t>3</w:t>
      </w:r>
    </w:p>
    <w:p>
      <w:pPr>
        <w:pStyle w:val="Normal"/>
        <w:ind w:left="5664" w:hanging="0"/>
        <w:jc w:val="center"/>
        <w:rPr>
          <w:b/>
          <w:b/>
          <w:lang w:val="de-DE"/>
        </w:rPr>
      </w:pPr>
      <w:r>
        <w:rPr/>
        <w:drawing>
          <wp:inline distT="0" distB="0" distL="0" distR="0">
            <wp:extent cx="2019300" cy="1704975"/>
            <wp:effectExtent l="0" t="0" r="0" b="0"/>
            <wp:docPr id="3" name="Bild 1" descr="http://us.123rf.com/400wm/400/400/davisales/davisales1109/davisales110900194/10715659-ein-junger-student-schwer-tut-sein-zu-hause-aus-arbe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http://us.123rf.com/400wm/400/400/davisales/davisales1109/davisales110900194/10715659-ein-junger-student-schwer-tut-sein-zu-hause-aus-arbeiten.jpg"/>
                    <pic:cNvPicPr>
                      <a:picLocks noChangeAspect="1" noChangeArrowheads="1"/>
                    </pic:cNvPicPr>
                  </pic:nvPicPr>
                  <pic:blipFill>
                    <a:blip r:embed="rId2"/>
                    <a:stretch>
                      <a:fillRect/>
                    </a:stretch>
                  </pic:blipFill>
                  <pic:spPr bwMode="auto">
                    <a:xfrm>
                      <a:off x="0" y="0"/>
                      <a:ext cx="2019300" cy="1704975"/>
                    </a:xfrm>
                    <a:prstGeom prst="rect">
                      <a:avLst/>
                    </a:prstGeom>
                  </pic:spPr>
                </pic:pic>
              </a:graphicData>
            </a:graphic>
          </wp:inline>
        </w:drawing>
        <mc:AlternateContent>
          <mc:Choice Requires="wps">
            <w:drawing>
              <wp:anchor behindDoc="0" distT="0" distB="0" distL="89535" distR="89535" simplePos="0" locked="0" layoutInCell="1" allowOverlap="1" relativeHeight="2">
                <wp:simplePos x="0" y="0"/>
                <wp:positionH relativeFrom="margin">
                  <wp:posOffset>-12700</wp:posOffset>
                </wp:positionH>
                <wp:positionV relativeFrom="paragraph">
                  <wp:posOffset>141605</wp:posOffset>
                </wp:positionV>
                <wp:extent cx="4181475" cy="1801495"/>
                <wp:effectExtent l="0" t="0" r="0" b="0"/>
                <wp:wrapSquare wrapText="bothSides"/>
                <wp:docPr id="1" name="Rahmen1"/>
                <a:graphic xmlns:a="http://schemas.openxmlformats.org/drawingml/2006/main">
                  <a:graphicData uri="http://schemas.microsoft.com/office/word/2010/wordprocessingShape">
                    <wps:wsp>
                      <wps:cNvSpPr/>
                      <wps:spPr>
                        <a:xfrm>
                          <a:off x="0" y="0"/>
                          <a:ext cx="4180680" cy="1800720"/>
                        </a:xfrm>
                        <a:prstGeom prst="rect">
                          <a:avLst/>
                        </a:prstGeom>
                        <a:noFill/>
                        <a:ln>
                          <a:noFill/>
                        </a:ln>
                      </wps:spPr>
                      <wps:style>
                        <a:lnRef idx="0"/>
                        <a:fillRef idx="0"/>
                        <a:effectRef idx="0"/>
                        <a:fontRef idx="minor"/>
                      </wps:style>
                      <wps:txbx>
                        <w:txbxContent>
                          <w:tbl>
                            <w:tblPr>
                              <w:tblW w:w="6576" w:type="dxa"/>
                              <w:jc w:val="left"/>
                              <w:tblInd w:w="-6" w:type="dxa"/>
                              <w:tblCellMar>
                                <w:top w:w="15" w:type="dxa"/>
                                <w:left w:w="5" w:type="dxa"/>
                                <w:bottom w:w="15" w:type="dxa"/>
                                <w:right w:w="5" w:type="dxa"/>
                              </w:tblCellMar>
                              <w:tblLook w:val="04a0"/>
                            </w:tblPr>
                            <w:tblGrid>
                              <w:gridCol w:w="843"/>
                              <w:gridCol w:w="1568"/>
                              <w:gridCol w:w="4165"/>
                            </w:tblGrid>
                            <w:tr>
                              <w:trPr>
                                <w:trHeight w:val="377" w:hRule="atLeast"/>
                              </w:trPr>
                              <w:tc>
                                <w:tcPr>
                                  <w:tcW w:w="84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Style w:val="Strong"/>
                                      <w:color w:val="00000A"/>
                                      <w:sz w:val="16"/>
                                      <w:szCs w:val="16"/>
                                      <w:lang w:val="de-DE"/>
                                    </w:rPr>
                                    <w:t>Termin</w:t>
                                  </w:r>
                                </w:p>
                              </w:tc>
                              <w:tc>
                                <w:tcPr>
                                  <w:tcW w:w="156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Style w:val="Strong"/>
                                      <w:color w:val="00000A"/>
                                      <w:sz w:val="16"/>
                                      <w:szCs w:val="16"/>
                                      <w:lang w:val="de-DE"/>
                                    </w:rPr>
                                    <w:t>Fach</w:t>
                                  </w:r>
                                </w:p>
                                <w:p>
                                  <w:pPr>
                                    <w:pStyle w:val="Normal"/>
                                    <w:jc w:val="center"/>
                                    <w:rPr/>
                                  </w:pPr>
                                  <w:r>
                                    <w:rPr>
                                      <w:rStyle w:val="Strong"/>
                                      <w:color w:val="00000A"/>
                                      <w:sz w:val="16"/>
                                      <w:szCs w:val="16"/>
                                      <w:lang w:val="de-DE"/>
                                    </w:rPr>
                                    <w:t xml:space="preserve"> </w:t>
                                  </w:r>
                                  <w:r>
                                    <w:rPr>
                                      <w:rFonts w:eastAsia="Calibri"/>
                                      <w:color w:val="00000A"/>
                                      <w:sz w:val="16"/>
                                      <w:szCs w:val="16"/>
                                      <w:lang w:val="de-DE" w:eastAsia="de-DE" w:bidi="ar-SA"/>
                                    </w:rPr>
                                    <w:t>(Dauer jeweils 90 Minuten, inkl. Einführung)</w:t>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Style w:val="Strong"/>
                                      <w:color w:val="00000A"/>
                                      <w:sz w:val="16"/>
                                      <w:szCs w:val="16"/>
                                    </w:rPr>
                                    <w:t>Testschwerpunkte</w:t>
                                  </w:r>
                                </w:p>
                              </w:tc>
                            </w:tr>
                            <w:tr>
                              <w:trPr>
                                <w:trHeight w:val="291" w:hRule="atLeast"/>
                              </w:trPr>
                              <w:tc>
                                <w:tcPr>
                                  <w:tcW w:w="84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beforeAutospacing="1" w:after="0"/>
                                    <w:jc w:val="center"/>
                                    <w:rPr/>
                                  </w:pPr>
                                  <w:r>
                                    <w:rPr>
                                      <w:rFonts w:eastAsia="Times New Roman" w:cs="Times New Roman"/>
                                      <w:color w:val="00000A"/>
                                      <w:kern w:val="0"/>
                                      <w:sz w:val="16"/>
                                      <w:szCs w:val="16"/>
                                      <w:lang w:val="de-DE" w:eastAsia="de-DE" w:bidi="ar-SA"/>
                                    </w:rPr>
                                    <w:t>Montag</w:t>
                                  </w:r>
                                  <w:r>
                                    <w:rPr>
                                      <w:rFonts w:eastAsia="Times New Roman"/>
                                      <w:color w:val="00000A"/>
                                      <w:sz w:val="16"/>
                                      <w:szCs w:val="16"/>
                                      <w:lang w:val="de-DE" w:eastAsia="de-DE" w:bidi="ar-SA"/>
                                    </w:rPr>
                                    <w:t xml:space="preserve">, </w:t>
                                  </w:r>
                                </w:p>
                                <w:p>
                                  <w:pPr>
                                    <w:pStyle w:val="Normal"/>
                                    <w:spacing w:beforeAutospacing="1" w:after="0"/>
                                    <w:jc w:val="center"/>
                                    <w:rPr/>
                                  </w:pPr>
                                  <w:r>
                                    <w:rPr>
                                      <w:rFonts w:eastAsia="Times New Roman"/>
                                      <w:color w:val="00000A"/>
                                      <w:sz w:val="16"/>
                                      <w:szCs w:val="16"/>
                                      <w:lang w:val="de-DE" w:eastAsia="de-DE" w:bidi="ar-SA"/>
                                    </w:rPr>
                                    <w:t>27.02.2023</w:t>
                                  </w:r>
                                </w:p>
                                <w:p>
                                  <w:pPr>
                                    <w:pStyle w:val="Normal"/>
                                    <w:spacing w:beforeAutospacing="1" w:after="0"/>
                                    <w:jc w:val="center"/>
                                    <w:rPr/>
                                  </w:pPr>
                                  <w:r>
                                    <w:rPr>
                                      <w:rFonts w:eastAsia="Times New Roman"/>
                                      <w:color w:val="00000A"/>
                                      <w:sz w:val="16"/>
                                      <w:szCs w:val="16"/>
                                      <w:lang w:val="de-DE" w:eastAsia="de-DE" w:bidi="ar-SA"/>
                                    </w:rPr>
                                    <w:t>bis</w:t>
                                  </w:r>
                                </w:p>
                                <w:p>
                                  <w:pPr>
                                    <w:pStyle w:val="Normal"/>
                                    <w:spacing w:beforeAutospacing="1" w:after="0"/>
                                    <w:jc w:val="center"/>
                                    <w:rPr/>
                                  </w:pPr>
                                  <w:r>
                                    <w:rPr>
                                      <w:rFonts w:eastAsia="Times New Roman"/>
                                      <w:color w:val="00000A"/>
                                      <w:sz w:val="16"/>
                                      <w:szCs w:val="16"/>
                                      <w:lang w:val="de-DE" w:eastAsia="de-DE" w:bidi="ar-SA"/>
                                    </w:rPr>
                                    <w:t>Freitag, 1</w:t>
                                  </w:r>
                                  <w:r>
                                    <w:rPr>
                                      <w:rFonts w:eastAsia="Times New Roman"/>
                                      <w:color w:val="00000A"/>
                                      <w:sz w:val="16"/>
                                      <w:szCs w:val="16"/>
                                      <w:lang w:val="de-DE" w:eastAsia="de-DE" w:bidi="ar-SA"/>
                                    </w:rPr>
                                    <w:t>7</w:t>
                                  </w:r>
                                  <w:r>
                                    <w:rPr>
                                      <w:rFonts w:eastAsia="Times New Roman"/>
                                      <w:color w:val="00000A"/>
                                      <w:sz w:val="16"/>
                                      <w:szCs w:val="16"/>
                                      <w:lang w:val="de-DE" w:eastAsia="de-DE" w:bidi="ar-SA"/>
                                    </w:rPr>
                                    <w:t>.</w:t>
                                  </w:r>
                                  <w:r>
                                    <w:rPr>
                                      <w:rFonts w:eastAsia="Times New Roman"/>
                                      <w:color w:val="00000A"/>
                                      <w:sz w:val="16"/>
                                      <w:szCs w:val="16"/>
                                      <w:lang w:val="de-DE" w:eastAsia="de-DE" w:bidi="ar-SA"/>
                                    </w:rPr>
                                    <w:t>03.2023</w:t>
                                  </w:r>
                                </w:p>
                              </w:tc>
                              <w:tc>
                                <w:tcPr>
                                  <w:tcW w:w="156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jc w:val="center"/>
                                    <w:rPr>
                                      <w:color w:val="00000A"/>
                                      <w:sz w:val="16"/>
                                      <w:szCs w:val="16"/>
                                    </w:rPr>
                                  </w:pPr>
                                  <w:r>
                                    <w:rPr>
                                      <w:color w:val="00000A"/>
                                      <w:sz w:val="16"/>
                                      <w:szCs w:val="16"/>
                                    </w:rPr>
                                  </w:r>
                                </w:p>
                                <w:p>
                                  <w:pPr>
                                    <w:pStyle w:val="Normal"/>
                                    <w:jc w:val="center"/>
                                    <w:rPr>
                                      <w:color w:val="00000A"/>
                                    </w:rPr>
                                  </w:pPr>
                                  <w:r>
                                    <w:rPr>
                                      <w:color w:val="00000A"/>
                                      <w:sz w:val="16"/>
                                      <w:szCs w:val="16"/>
                                    </w:rPr>
                                    <w:t>Deutsch</w:t>
                                  </w:r>
                                </w:p>
                                <w:p>
                                  <w:pPr>
                                    <w:pStyle w:val="Normal"/>
                                    <w:jc w:val="center"/>
                                    <w:rPr>
                                      <w:color w:val="00000A"/>
                                      <w:sz w:val="16"/>
                                      <w:szCs w:val="16"/>
                                    </w:rPr>
                                  </w:pPr>
                                  <w:r>
                                    <w:rPr>
                                      <w:color w:val="00000A"/>
                                      <w:sz w:val="16"/>
                                      <w:szCs w:val="16"/>
                                    </w:rPr>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eastAsia="Calibri" w:cs="Times New Roman"/>
                                      <w:color w:val="00000A"/>
                                      <w:kern w:val="0"/>
                                      <w:sz w:val="16"/>
                                      <w:szCs w:val="16"/>
                                      <w:lang w:val="de-DE" w:eastAsia="de-DE" w:bidi="ar-SA"/>
                                    </w:rPr>
                                  </w:pPr>
                                  <w:r>
                                    <w:rPr>
                                      <w:rFonts w:eastAsia="Calibri" w:cs="Times New Roman"/>
                                      <w:color w:val="00000A"/>
                                      <w:kern w:val="0"/>
                                      <w:sz w:val="16"/>
                                      <w:szCs w:val="16"/>
                                      <w:lang w:val="de-DE" w:eastAsia="de-DE" w:bidi="ar-SA"/>
                                    </w:rPr>
                                    <w:t>Zuhören und Sprachgebrauch</w:t>
                                  </w:r>
                                </w:p>
                              </w:tc>
                            </w:tr>
                            <w:tr>
                              <w:trPr>
                                <w:trHeight w:val="272" w:hRule="atLeast"/>
                              </w:trPr>
                              <w:tc>
                                <w:tcPr>
                                  <w:tcW w:w="84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color w:val="00000A"/>
                                      <w:sz w:val="16"/>
                                      <w:szCs w:val="16"/>
                                    </w:rPr>
                                  </w:pPr>
                                  <w:r>
                                    <w:rPr>
                                      <w:color w:val="00000A"/>
                                      <w:sz w:val="16"/>
                                      <w:szCs w:val="16"/>
                                    </w:rPr>
                                  </w:r>
                                </w:p>
                              </w:tc>
                              <w:tc>
                                <w:tcPr>
                                  <w:tcW w:w="156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jc w:val="center"/>
                                    <w:rPr>
                                      <w:color w:val="00000A"/>
                                      <w:sz w:val="16"/>
                                      <w:szCs w:val="16"/>
                                    </w:rPr>
                                  </w:pPr>
                                  <w:r>
                                    <w:rPr>
                                      <w:color w:val="00000A"/>
                                      <w:sz w:val="16"/>
                                      <w:szCs w:val="16"/>
                                    </w:rPr>
                                  </w:r>
                                </w:p>
                                <w:p>
                                  <w:pPr>
                                    <w:pStyle w:val="Normal"/>
                                    <w:jc w:val="center"/>
                                    <w:rPr/>
                                  </w:pPr>
                                  <w:r>
                                    <w:rPr>
                                      <w:color w:val="00000A"/>
                                      <w:sz w:val="16"/>
                                      <w:szCs w:val="16"/>
                                    </w:rPr>
                                    <w:t>Englisch</w:t>
                                  </w:r>
                                </w:p>
                                <w:p>
                                  <w:pPr>
                                    <w:pStyle w:val="Normal"/>
                                    <w:jc w:val="center"/>
                                    <w:rPr>
                                      <w:color w:val="00000A"/>
                                      <w:sz w:val="16"/>
                                      <w:szCs w:val="16"/>
                                    </w:rPr>
                                  </w:pPr>
                                  <w:r>
                                    <w:rPr>
                                      <w:color w:val="00000A"/>
                                      <w:sz w:val="16"/>
                                      <w:szCs w:val="16"/>
                                    </w:rPr>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Fonts w:eastAsia="Calibri"/>
                                      <w:color w:val="00000A"/>
                                      <w:sz w:val="16"/>
                                      <w:szCs w:val="16"/>
                                      <w:lang w:val="de-DE" w:eastAsia="de-DE" w:bidi="ar-SA"/>
                                    </w:rPr>
                                    <w:t>Lese</w:t>
                                  </w:r>
                                  <w:r>
                                    <w:rPr>
                                      <w:rFonts w:eastAsia="Calibri"/>
                                      <w:color w:val="00000A"/>
                                      <w:sz w:val="16"/>
                                      <w:szCs w:val="16"/>
                                      <w:lang w:val="de-DE" w:eastAsia="de-DE" w:bidi="ar-SA"/>
                                    </w:rPr>
                                    <w:t>n und Hören</w:t>
                                  </w:r>
                                </w:p>
                              </w:tc>
                            </w:tr>
                            <w:tr>
                              <w:trPr>
                                <w:trHeight w:val="418" w:hRule="atLeast"/>
                              </w:trPr>
                              <w:tc>
                                <w:tcPr>
                                  <w:tcW w:w="84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color w:val="00000A"/>
                                      <w:sz w:val="16"/>
                                      <w:szCs w:val="16"/>
                                      <w:lang w:val="de-DE"/>
                                    </w:rPr>
                                  </w:pPr>
                                  <w:r>
                                    <w:rPr>
                                      <w:color w:val="00000A"/>
                                      <w:sz w:val="16"/>
                                      <w:szCs w:val="16"/>
                                      <w:lang w:val="de-DE"/>
                                    </w:rPr>
                                  </w:r>
                                </w:p>
                              </w:tc>
                              <w:tc>
                                <w:tcPr>
                                  <w:tcW w:w="156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color w:val="00000A"/>
                                      <w:sz w:val="16"/>
                                      <w:szCs w:val="16"/>
                                      <w:lang w:val="de-DE"/>
                                    </w:rPr>
                                    <w:t>Mathematik</w:t>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Fonts w:eastAsia="Calibri"/>
                                      <w:color w:val="00000A"/>
                                      <w:sz w:val="16"/>
                                      <w:szCs w:val="16"/>
                                      <w:lang w:val="de-DE" w:eastAsia="de-DE" w:bidi="ar-SA"/>
                                    </w:rPr>
                                    <w:t>alle Inhaltsbereiche, d.h. Aufgaben zu allen prozessbezogenen Kompetenzen und allen vier Inhaltsbereichen (Arithmetik/Algebra, Funktionen, Geometrie und Stochastik)</w:t>
                                  </w:r>
                                </w:p>
                              </w:tc>
                            </w:tr>
                          </w:tbl>
                          <w:p>
                            <w:pPr>
                              <w:pStyle w:val="Rahmeninhalt"/>
                              <w:rPr/>
                            </w:pPr>
                            <w:r>
                              <w:rPr/>
                            </w:r>
                          </w:p>
                        </w:txbxContent>
                      </wps:txbx>
                      <wps:bodyPr lIns="0" rIns="0" tIns="0" bIns="0">
                        <a:spAutoFit/>
                      </wps:bodyPr>
                    </wps:wsp>
                  </a:graphicData>
                </a:graphic>
              </wp:anchor>
            </w:drawing>
          </mc:Choice>
          <mc:Fallback>
            <w:pict>
              <v:rect id="shape_0" ID="Rahmen1" stroked="f" style="position:absolute;margin-left:-1pt;margin-top:11.15pt;width:329.15pt;height:141.75pt;mso-position-horizontal-relative:margin">
                <w10:wrap type="none"/>
                <v:fill o:detectmouseclick="t" on="false"/>
                <v:stroke color="#3465a4" joinstyle="round" endcap="flat"/>
                <v:textbox>
                  <w:txbxContent>
                    <w:tbl>
                      <w:tblPr>
                        <w:tblW w:w="6576" w:type="dxa"/>
                        <w:jc w:val="left"/>
                        <w:tblInd w:w="-6" w:type="dxa"/>
                        <w:tblCellMar>
                          <w:top w:w="15" w:type="dxa"/>
                          <w:left w:w="5" w:type="dxa"/>
                          <w:bottom w:w="15" w:type="dxa"/>
                          <w:right w:w="5" w:type="dxa"/>
                        </w:tblCellMar>
                        <w:tblLook w:val="04a0"/>
                      </w:tblPr>
                      <w:tblGrid>
                        <w:gridCol w:w="843"/>
                        <w:gridCol w:w="1568"/>
                        <w:gridCol w:w="4165"/>
                      </w:tblGrid>
                      <w:tr>
                        <w:trPr>
                          <w:trHeight w:val="377" w:hRule="atLeast"/>
                        </w:trPr>
                        <w:tc>
                          <w:tcPr>
                            <w:tcW w:w="84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Style w:val="Strong"/>
                                <w:color w:val="00000A"/>
                                <w:sz w:val="16"/>
                                <w:szCs w:val="16"/>
                                <w:lang w:val="de-DE"/>
                              </w:rPr>
                              <w:t>Termin</w:t>
                            </w:r>
                          </w:p>
                        </w:tc>
                        <w:tc>
                          <w:tcPr>
                            <w:tcW w:w="156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Style w:val="Strong"/>
                                <w:color w:val="00000A"/>
                                <w:sz w:val="16"/>
                                <w:szCs w:val="16"/>
                                <w:lang w:val="de-DE"/>
                              </w:rPr>
                              <w:t>Fach</w:t>
                            </w:r>
                          </w:p>
                          <w:p>
                            <w:pPr>
                              <w:pStyle w:val="Normal"/>
                              <w:jc w:val="center"/>
                              <w:rPr/>
                            </w:pPr>
                            <w:r>
                              <w:rPr>
                                <w:rStyle w:val="Strong"/>
                                <w:color w:val="00000A"/>
                                <w:sz w:val="16"/>
                                <w:szCs w:val="16"/>
                                <w:lang w:val="de-DE"/>
                              </w:rPr>
                              <w:t xml:space="preserve"> </w:t>
                            </w:r>
                            <w:r>
                              <w:rPr>
                                <w:rFonts w:eastAsia="Calibri"/>
                                <w:color w:val="00000A"/>
                                <w:sz w:val="16"/>
                                <w:szCs w:val="16"/>
                                <w:lang w:val="de-DE" w:eastAsia="de-DE" w:bidi="ar-SA"/>
                              </w:rPr>
                              <w:t>(Dauer jeweils 90 Minuten, inkl. Einführung)</w:t>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Style w:val="Strong"/>
                                <w:color w:val="00000A"/>
                                <w:sz w:val="16"/>
                                <w:szCs w:val="16"/>
                              </w:rPr>
                              <w:t>Testschwerpunkte</w:t>
                            </w:r>
                          </w:p>
                        </w:tc>
                      </w:tr>
                      <w:tr>
                        <w:trPr>
                          <w:trHeight w:val="291" w:hRule="atLeast"/>
                        </w:trPr>
                        <w:tc>
                          <w:tcPr>
                            <w:tcW w:w="843"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beforeAutospacing="1" w:after="0"/>
                              <w:jc w:val="center"/>
                              <w:rPr/>
                            </w:pPr>
                            <w:r>
                              <w:rPr>
                                <w:rFonts w:eastAsia="Times New Roman" w:cs="Times New Roman"/>
                                <w:color w:val="00000A"/>
                                <w:kern w:val="0"/>
                                <w:sz w:val="16"/>
                                <w:szCs w:val="16"/>
                                <w:lang w:val="de-DE" w:eastAsia="de-DE" w:bidi="ar-SA"/>
                              </w:rPr>
                              <w:t>Montag</w:t>
                            </w:r>
                            <w:r>
                              <w:rPr>
                                <w:rFonts w:eastAsia="Times New Roman"/>
                                <w:color w:val="00000A"/>
                                <w:sz w:val="16"/>
                                <w:szCs w:val="16"/>
                                <w:lang w:val="de-DE" w:eastAsia="de-DE" w:bidi="ar-SA"/>
                              </w:rPr>
                              <w:t xml:space="preserve">, </w:t>
                            </w:r>
                          </w:p>
                          <w:p>
                            <w:pPr>
                              <w:pStyle w:val="Normal"/>
                              <w:spacing w:beforeAutospacing="1" w:after="0"/>
                              <w:jc w:val="center"/>
                              <w:rPr/>
                            </w:pPr>
                            <w:r>
                              <w:rPr>
                                <w:rFonts w:eastAsia="Times New Roman"/>
                                <w:color w:val="00000A"/>
                                <w:sz w:val="16"/>
                                <w:szCs w:val="16"/>
                                <w:lang w:val="de-DE" w:eastAsia="de-DE" w:bidi="ar-SA"/>
                              </w:rPr>
                              <w:t>27.02.2023</w:t>
                            </w:r>
                          </w:p>
                          <w:p>
                            <w:pPr>
                              <w:pStyle w:val="Normal"/>
                              <w:spacing w:beforeAutospacing="1" w:after="0"/>
                              <w:jc w:val="center"/>
                              <w:rPr/>
                            </w:pPr>
                            <w:r>
                              <w:rPr>
                                <w:rFonts w:eastAsia="Times New Roman"/>
                                <w:color w:val="00000A"/>
                                <w:sz w:val="16"/>
                                <w:szCs w:val="16"/>
                                <w:lang w:val="de-DE" w:eastAsia="de-DE" w:bidi="ar-SA"/>
                              </w:rPr>
                              <w:t>bis</w:t>
                            </w:r>
                          </w:p>
                          <w:p>
                            <w:pPr>
                              <w:pStyle w:val="Normal"/>
                              <w:spacing w:beforeAutospacing="1" w:after="0"/>
                              <w:jc w:val="center"/>
                              <w:rPr/>
                            </w:pPr>
                            <w:r>
                              <w:rPr>
                                <w:rFonts w:eastAsia="Times New Roman"/>
                                <w:color w:val="00000A"/>
                                <w:sz w:val="16"/>
                                <w:szCs w:val="16"/>
                                <w:lang w:val="de-DE" w:eastAsia="de-DE" w:bidi="ar-SA"/>
                              </w:rPr>
                              <w:t>Freitag, 1</w:t>
                            </w:r>
                            <w:r>
                              <w:rPr>
                                <w:rFonts w:eastAsia="Times New Roman"/>
                                <w:color w:val="00000A"/>
                                <w:sz w:val="16"/>
                                <w:szCs w:val="16"/>
                                <w:lang w:val="de-DE" w:eastAsia="de-DE" w:bidi="ar-SA"/>
                              </w:rPr>
                              <w:t>7</w:t>
                            </w:r>
                            <w:r>
                              <w:rPr>
                                <w:rFonts w:eastAsia="Times New Roman"/>
                                <w:color w:val="00000A"/>
                                <w:sz w:val="16"/>
                                <w:szCs w:val="16"/>
                                <w:lang w:val="de-DE" w:eastAsia="de-DE" w:bidi="ar-SA"/>
                              </w:rPr>
                              <w:t>.</w:t>
                            </w:r>
                            <w:r>
                              <w:rPr>
                                <w:rFonts w:eastAsia="Times New Roman"/>
                                <w:color w:val="00000A"/>
                                <w:sz w:val="16"/>
                                <w:szCs w:val="16"/>
                                <w:lang w:val="de-DE" w:eastAsia="de-DE" w:bidi="ar-SA"/>
                              </w:rPr>
                              <w:t>03.2023</w:t>
                            </w:r>
                          </w:p>
                        </w:tc>
                        <w:tc>
                          <w:tcPr>
                            <w:tcW w:w="156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jc w:val="center"/>
                              <w:rPr>
                                <w:color w:val="00000A"/>
                                <w:sz w:val="16"/>
                                <w:szCs w:val="16"/>
                              </w:rPr>
                            </w:pPr>
                            <w:r>
                              <w:rPr>
                                <w:color w:val="00000A"/>
                                <w:sz w:val="16"/>
                                <w:szCs w:val="16"/>
                              </w:rPr>
                            </w:r>
                          </w:p>
                          <w:p>
                            <w:pPr>
                              <w:pStyle w:val="Normal"/>
                              <w:jc w:val="center"/>
                              <w:rPr>
                                <w:color w:val="00000A"/>
                              </w:rPr>
                            </w:pPr>
                            <w:r>
                              <w:rPr>
                                <w:color w:val="00000A"/>
                                <w:sz w:val="16"/>
                                <w:szCs w:val="16"/>
                              </w:rPr>
                              <w:t>Deutsch</w:t>
                            </w:r>
                          </w:p>
                          <w:p>
                            <w:pPr>
                              <w:pStyle w:val="Normal"/>
                              <w:jc w:val="center"/>
                              <w:rPr>
                                <w:color w:val="00000A"/>
                                <w:sz w:val="16"/>
                                <w:szCs w:val="16"/>
                              </w:rPr>
                            </w:pPr>
                            <w:r>
                              <w:rPr>
                                <w:color w:val="00000A"/>
                                <w:sz w:val="16"/>
                                <w:szCs w:val="16"/>
                              </w:rPr>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eastAsia="Calibri" w:cs="Times New Roman"/>
                                <w:color w:val="00000A"/>
                                <w:kern w:val="0"/>
                                <w:sz w:val="16"/>
                                <w:szCs w:val="16"/>
                                <w:lang w:val="de-DE" w:eastAsia="de-DE" w:bidi="ar-SA"/>
                              </w:rPr>
                            </w:pPr>
                            <w:r>
                              <w:rPr>
                                <w:rFonts w:eastAsia="Calibri" w:cs="Times New Roman"/>
                                <w:color w:val="00000A"/>
                                <w:kern w:val="0"/>
                                <w:sz w:val="16"/>
                                <w:szCs w:val="16"/>
                                <w:lang w:val="de-DE" w:eastAsia="de-DE" w:bidi="ar-SA"/>
                              </w:rPr>
                              <w:t>Zuhören und Sprachgebrauch</w:t>
                            </w:r>
                          </w:p>
                        </w:tc>
                      </w:tr>
                      <w:tr>
                        <w:trPr>
                          <w:trHeight w:val="272" w:hRule="atLeast"/>
                        </w:trPr>
                        <w:tc>
                          <w:tcPr>
                            <w:tcW w:w="84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color w:val="00000A"/>
                                <w:sz w:val="16"/>
                                <w:szCs w:val="16"/>
                              </w:rPr>
                            </w:pPr>
                            <w:r>
                              <w:rPr>
                                <w:color w:val="00000A"/>
                                <w:sz w:val="16"/>
                                <w:szCs w:val="16"/>
                              </w:rPr>
                            </w:r>
                          </w:p>
                        </w:tc>
                        <w:tc>
                          <w:tcPr>
                            <w:tcW w:w="156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jc w:val="center"/>
                              <w:rPr>
                                <w:color w:val="00000A"/>
                                <w:sz w:val="16"/>
                                <w:szCs w:val="16"/>
                              </w:rPr>
                            </w:pPr>
                            <w:r>
                              <w:rPr>
                                <w:color w:val="00000A"/>
                                <w:sz w:val="16"/>
                                <w:szCs w:val="16"/>
                              </w:rPr>
                            </w:r>
                          </w:p>
                          <w:p>
                            <w:pPr>
                              <w:pStyle w:val="Normal"/>
                              <w:jc w:val="center"/>
                              <w:rPr/>
                            </w:pPr>
                            <w:r>
                              <w:rPr>
                                <w:color w:val="00000A"/>
                                <w:sz w:val="16"/>
                                <w:szCs w:val="16"/>
                              </w:rPr>
                              <w:t>Englisch</w:t>
                            </w:r>
                          </w:p>
                          <w:p>
                            <w:pPr>
                              <w:pStyle w:val="Normal"/>
                              <w:jc w:val="center"/>
                              <w:rPr>
                                <w:color w:val="00000A"/>
                                <w:sz w:val="16"/>
                                <w:szCs w:val="16"/>
                              </w:rPr>
                            </w:pPr>
                            <w:r>
                              <w:rPr>
                                <w:color w:val="00000A"/>
                                <w:sz w:val="16"/>
                                <w:szCs w:val="16"/>
                              </w:rPr>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Fonts w:eastAsia="Calibri"/>
                                <w:color w:val="00000A"/>
                                <w:sz w:val="16"/>
                                <w:szCs w:val="16"/>
                                <w:lang w:val="de-DE" w:eastAsia="de-DE" w:bidi="ar-SA"/>
                              </w:rPr>
                              <w:t>Lese</w:t>
                            </w:r>
                            <w:r>
                              <w:rPr>
                                <w:rFonts w:eastAsia="Calibri"/>
                                <w:color w:val="00000A"/>
                                <w:sz w:val="16"/>
                                <w:szCs w:val="16"/>
                                <w:lang w:val="de-DE" w:eastAsia="de-DE" w:bidi="ar-SA"/>
                              </w:rPr>
                              <w:t>n und Hören</w:t>
                            </w:r>
                          </w:p>
                        </w:tc>
                      </w:tr>
                      <w:tr>
                        <w:trPr>
                          <w:trHeight w:val="418" w:hRule="atLeast"/>
                        </w:trPr>
                        <w:tc>
                          <w:tcPr>
                            <w:tcW w:w="843"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color w:val="00000A"/>
                                <w:sz w:val="16"/>
                                <w:szCs w:val="16"/>
                                <w:lang w:val="de-DE"/>
                              </w:rPr>
                            </w:pPr>
                            <w:r>
                              <w:rPr>
                                <w:color w:val="00000A"/>
                                <w:sz w:val="16"/>
                                <w:szCs w:val="16"/>
                                <w:lang w:val="de-DE"/>
                              </w:rPr>
                            </w:r>
                          </w:p>
                        </w:tc>
                        <w:tc>
                          <w:tcPr>
                            <w:tcW w:w="156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color w:val="00000A"/>
                                <w:sz w:val="16"/>
                                <w:szCs w:val="16"/>
                                <w:lang w:val="de-DE"/>
                              </w:rPr>
                              <w:t>Mathematik</w:t>
                            </w:r>
                          </w:p>
                        </w:tc>
                        <w:tc>
                          <w:tcPr>
                            <w:tcW w:w="416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pPr>
                            <w:r>
                              <w:rPr>
                                <w:rFonts w:eastAsia="Calibri"/>
                                <w:color w:val="00000A"/>
                                <w:sz w:val="16"/>
                                <w:szCs w:val="16"/>
                                <w:lang w:val="de-DE" w:eastAsia="de-DE" w:bidi="ar-SA"/>
                              </w:rPr>
                              <w:t>alle Inhaltsbereiche, d.h. Aufgaben zu allen prozessbezogenen Kompetenzen und allen vier Inhaltsbereichen (Arithmetik/Algebra, Funktionen, Geometrie und Stochastik)</w:t>
                            </w:r>
                          </w:p>
                        </w:tc>
                      </w:tr>
                    </w:tbl>
                    <w:p>
                      <w:pPr>
                        <w:pStyle w:val="Rahmeninhalt"/>
                        <w:rPr/>
                      </w:pPr>
                      <w:r>
                        <w:rPr/>
                      </w:r>
                    </w:p>
                  </w:txbxContent>
                </v:textbox>
              </v:rect>
            </w:pict>
          </mc:Fallback>
        </mc:AlternateContent>
      </w:r>
    </w:p>
    <w:p>
      <w:pPr>
        <w:pStyle w:val="Normal"/>
        <w:ind w:left="5664" w:hanging="0"/>
        <w:jc w:val="center"/>
        <w:rPr>
          <w:b/>
          <w:b/>
          <w:lang w:val="de-DE"/>
        </w:rPr>
      </w:pPr>
      <w:r>
        <w:rPr>
          <w:b/>
          <w:lang w:val="de-DE"/>
        </w:rPr>
      </w:r>
    </w:p>
    <w:p>
      <w:pPr>
        <w:pStyle w:val="Default"/>
        <w:rPr>
          <w:b/>
          <w:b/>
          <w:bCs/>
          <w:sz w:val="18"/>
          <w:szCs w:val="18"/>
        </w:rPr>
      </w:pPr>
      <w:r>
        <w:rPr>
          <w:b/>
          <w:bCs/>
          <w:sz w:val="18"/>
          <w:szCs w:val="18"/>
        </w:rPr>
      </w:r>
    </w:p>
    <w:p>
      <w:pPr>
        <w:pStyle w:val="Default"/>
        <w:pBdr>
          <w:top w:val="single" w:sz="4" w:space="1" w:color="00000A"/>
          <w:left w:val="single" w:sz="4" w:space="4" w:color="00000A"/>
          <w:bottom w:val="single" w:sz="4" w:space="1" w:color="00000A"/>
          <w:right w:val="single" w:sz="4" w:space="4" w:color="00000A"/>
        </w:pBdr>
        <w:rPr>
          <w:sz w:val="18"/>
          <w:szCs w:val="18"/>
        </w:rPr>
      </w:pPr>
      <w:r>
        <w:rPr>
          <w:b/>
          <w:bCs/>
          <w:sz w:val="18"/>
          <w:szCs w:val="18"/>
        </w:rPr>
        <w:t xml:space="preserve">Was sind Lernstandserhebungen? </w:t>
      </w:r>
    </w:p>
    <w:p>
      <w:pPr>
        <w:pStyle w:val="Normal"/>
        <w:pBdr>
          <w:top w:val="single" w:sz="4" w:space="1" w:color="00000A"/>
          <w:left w:val="single" w:sz="4" w:space="4" w:color="00000A"/>
          <w:bottom w:val="single" w:sz="4" w:space="1" w:color="00000A"/>
          <w:right w:val="single" w:sz="4" w:space="4" w:color="00000A"/>
        </w:pBdr>
        <w:rPr>
          <w:b/>
          <w:b/>
          <w:lang w:val="de-DE"/>
        </w:rPr>
      </w:pPr>
      <w:r>
        <w:rPr>
          <w:sz w:val="18"/>
          <w:szCs w:val="18"/>
          <w:lang w:val="de-DE" w:eastAsia="de-DE" w:bidi="ar-SA"/>
        </w:rPr>
        <w:t xml:space="preserve">Lernstandserhebungen </w:t>
      </w:r>
      <w:r>
        <w:rPr>
          <w:sz w:val="18"/>
          <w:szCs w:val="18"/>
          <w:lang w:val="de-DE"/>
        </w:rPr>
        <w:t xml:space="preserve">dienen der Überprüfung von Kenntnissen und Fähigkeiten in Deutsch, Mathematik und Englisch, die </w:t>
      </w:r>
      <w:r>
        <w:rPr>
          <w:sz w:val="18"/>
          <w:szCs w:val="18"/>
          <w:lang w:val="de-DE" w:eastAsia="de-DE" w:bidi="ar-SA"/>
        </w:rPr>
        <w:t xml:space="preserve">in ihrer </w:t>
      </w:r>
      <w:r>
        <w:rPr>
          <w:b/>
          <w:sz w:val="18"/>
          <w:szCs w:val="18"/>
          <w:lang w:val="de-DE" w:eastAsia="de-DE" w:bidi="ar-SA"/>
        </w:rPr>
        <w:t>gesamten bisherigen Schulzeit</w:t>
      </w:r>
      <w:r>
        <w:rPr>
          <w:sz w:val="18"/>
          <w:szCs w:val="18"/>
          <w:lang w:val="de-DE" w:eastAsia="de-DE" w:bidi="ar-SA"/>
        </w:rPr>
        <w:t xml:space="preserve"> erworben</w:t>
      </w:r>
      <w:r>
        <w:rPr>
          <w:sz w:val="18"/>
          <w:szCs w:val="18"/>
          <w:lang w:val="de-DE"/>
        </w:rPr>
        <w:t xml:space="preserve"> wurden. </w:t>
      </w:r>
      <w:r>
        <w:rPr>
          <w:sz w:val="18"/>
          <w:szCs w:val="18"/>
          <w:lang w:val="de-DE" w:eastAsia="de-DE" w:bidi="ar-SA"/>
        </w:rPr>
        <w:t xml:space="preserve">Klassenarbeiten beziehen sich dagegen stets eher auf die unmittelbar </w:t>
      </w:r>
      <w:r>
        <w:rPr>
          <w:sz w:val="18"/>
          <w:szCs w:val="18"/>
          <w:lang w:val="de-DE"/>
        </w:rPr>
        <w:t>vorher im Unterricht behandelten Inhalte</w:t>
      </w:r>
      <w:r>
        <w:rPr>
          <w:sz w:val="18"/>
          <w:szCs w:val="18"/>
          <w:lang w:val="de-DE" w:eastAsia="de-DE" w:bidi="ar-SA"/>
        </w:rPr>
        <w:t>.</w:t>
      </w:r>
      <w:r>
        <w:rPr>
          <w:sz w:val="18"/>
          <w:szCs w:val="18"/>
          <w:lang w:val="de-DE"/>
        </w:rPr>
        <w:t xml:space="preserve"> Lernstandserhebungen werden </w:t>
      </w:r>
      <w:r>
        <w:rPr>
          <w:b/>
          <w:bCs/>
          <w:sz w:val="18"/>
          <w:szCs w:val="18"/>
          <w:u w:val="single"/>
          <w:lang w:val="de-DE" w:eastAsia="de-DE" w:bidi="ar-SA"/>
        </w:rPr>
        <w:t>nicht</w:t>
      </w:r>
      <w:r>
        <w:rPr>
          <w:b/>
          <w:bCs/>
          <w:sz w:val="18"/>
          <w:szCs w:val="18"/>
          <w:lang w:val="de-DE" w:eastAsia="de-DE" w:bidi="ar-SA"/>
        </w:rPr>
        <w:t xml:space="preserve"> als Klassenarbeit gewertet und </w:t>
      </w:r>
      <w:r>
        <w:rPr>
          <w:b/>
          <w:bCs/>
          <w:sz w:val="18"/>
          <w:szCs w:val="18"/>
          <w:u w:val="single"/>
          <w:lang w:val="de-DE" w:eastAsia="de-DE" w:bidi="ar-SA"/>
        </w:rPr>
        <w:t>nicht</w:t>
      </w:r>
      <w:r>
        <w:rPr>
          <w:b/>
          <w:bCs/>
          <w:sz w:val="18"/>
          <w:szCs w:val="18"/>
          <w:lang w:val="de-DE" w:eastAsia="de-DE" w:bidi="ar-SA"/>
        </w:rPr>
        <w:t xml:space="preserve"> benotet</w:t>
      </w:r>
      <w:r>
        <w:rPr>
          <w:sz w:val="18"/>
          <w:szCs w:val="18"/>
          <w:lang w:val="de-DE"/>
        </w:rPr>
        <w:t>. Sie können aber im Zweifelsfalle, wenn man am Ende des Schuljahres zwischen zwei Noten steht, zur Entscheidungsfindung berücksichtigt werden.</w:t>
      </w:r>
      <w:r>
        <w:rPr>
          <w:sz w:val="18"/>
          <w:szCs w:val="18"/>
          <w:lang w:val="de-DE" w:eastAsia="de-DE" w:bidi="ar-SA"/>
        </w:rPr>
        <w:t xml:space="preserve"> </w:t>
      </w:r>
    </w:p>
    <w:p>
      <w:pPr>
        <w:pStyle w:val="Default"/>
        <w:rPr>
          <w:sz w:val="16"/>
          <w:szCs w:val="16"/>
        </w:rPr>
      </w:pPr>
      <w:r>
        <w:rPr>
          <w:sz w:val="16"/>
          <w:szCs w:val="16"/>
        </w:rPr>
      </w:r>
    </w:p>
    <w:p>
      <w:pPr>
        <w:pStyle w:val="Default"/>
        <w:pBdr>
          <w:top w:val="single" w:sz="4" w:space="1" w:color="00000A"/>
          <w:left w:val="single" w:sz="4" w:space="4" w:color="00000A"/>
          <w:bottom w:val="single" w:sz="4" w:space="1" w:color="00000A"/>
          <w:right w:val="single" w:sz="4" w:space="4" w:color="00000A"/>
        </w:pBdr>
        <w:rPr>
          <w:sz w:val="18"/>
          <w:szCs w:val="18"/>
        </w:rPr>
      </w:pPr>
      <w:r>
        <w:rPr>
          <w:b/>
          <w:bCs/>
          <w:sz w:val="18"/>
          <w:szCs w:val="18"/>
        </w:rPr>
        <w:t xml:space="preserve">Was sind die Ziele der Lernstandserhebungen? </w:t>
      </w:r>
    </w:p>
    <w:p>
      <w:pPr>
        <w:pStyle w:val="Normal"/>
        <w:pBdr>
          <w:top w:val="single" w:sz="4" w:space="1" w:color="00000A"/>
          <w:left w:val="single" w:sz="4" w:space="4" w:color="00000A"/>
          <w:bottom w:val="single" w:sz="4" w:space="1" w:color="00000A"/>
          <w:right w:val="single" w:sz="4" w:space="4" w:color="00000A"/>
        </w:pBdr>
        <w:rPr>
          <w:sz w:val="18"/>
          <w:szCs w:val="18"/>
          <w:lang w:val="de-DE"/>
        </w:rPr>
      </w:pPr>
      <w:r>
        <w:rPr>
          <w:sz w:val="18"/>
          <w:szCs w:val="18"/>
          <w:lang w:val="de-DE"/>
        </w:rPr>
        <w:t>Sie sollen die Lehrer über die Stärken und Schwächen ihrer Schülerinnen und Schüler informieren und vor allem Auskunft geben über den Stand der Klasse im Vergleich zu den anderen Klassen des Jahrgangs und im Vergleich zu anderen Schulen des Landes NRW. Die Ergebnisse dienen der weiteren Unterrichtsplanung, die an den festgestellten Stärken und Schwächen ansetzt.</w:t>
      </w:r>
    </w:p>
    <w:p>
      <w:pPr>
        <w:pStyle w:val="Default"/>
        <w:rPr>
          <w:sz w:val="16"/>
          <w:szCs w:val="16"/>
        </w:rPr>
      </w:pPr>
      <w:r>
        <w:rPr>
          <w:sz w:val="16"/>
          <w:szCs w:val="16"/>
        </w:rPr>
      </w:r>
    </w:p>
    <w:p>
      <w:pPr>
        <w:pStyle w:val="Default"/>
        <w:pBdr>
          <w:top w:val="single" w:sz="4" w:space="0" w:color="00000A"/>
          <w:left w:val="single" w:sz="4" w:space="4" w:color="00000A"/>
          <w:bottom w:val="single" w:sz="4" w:space="1" w:color="00000A"/>
          <w:right w:val="single" w:sz="4" w:space="4" w:color="00000A"/>
        </w:pBdr>
        <w:rPr>
          <w:sz w:val="18"/>
          <w:szCs w:val="18"/>
        </w:rPr>
      </w:pPr>
      <w:r>
        <w:rPr>
          <w:b/>
          <w:bCs/>
          <w:sz w:val="18"/>
          <w:szCs w:val="18"/>
        </w:rPr>
        <w:t xml:space="preserve">Wie erfährt man, wie man abgeschnitten hat? </w:t>
      </w:r>
    </w:p>
    <w:p>
      <w:pPr>
        <w:pStyle w:val="Normal"/>
        <w:pBdr>
          <w:top w:val="single" w:sz="4" w:space="0" w:color="00000A"/>
          <w:left w:val="single" w:sz="4" w:space="4" w:color="00000A"/>
          <w:bottom w:val="single" w:sz="4" w:space="1" w:color="00000A"/>
          <w:right w:val="single" w:sz="4" w:space="4" w:color="00000A"/>
        </w:pBdr>
        <w:rPr>
          <w:sz w:val="18"/>
          <w:szCs w:val="18"/>
          <w:lang w:val="de-DE"/>
        </w:rPr>
      </w:pPr>
      <w:r>
        <w:rPr>
          <w:sz w:val="18"/>
          <w:szCs w:val="18"/>
          <w:lang w:val="de-DE"/>
        </w:rPr>
        <w:t>Die Ergebnisse werden den Schulen in Form von Kompetenzstufen zurückgemeldet. Man erfährt, wie die Klasse auf die einzelnen Kompetenzstufen verteilt ist. Darüber wird in der Schulkonferenz berichtet. Jeder Schüler und jede Schülerin bzw. die Eltern erhalten in den letzten Wochen des Schuljahres eine individuelle Information über das Abschneiden bei den Lernstandserhebungen.</w:t>
      </w:r>
    </w:p>
    <w:p>
      <w:pPr>
        <w:pStyle w:val="Normal"/>
        <w:ind w:left="0" w:hanging="0"/>
        <w:rPr>
          <w:sz w:val="16"/>
          <w:szCs w:val="16"/>
          <w:lang w:val="de-DE"/>
        </w:rPr>
      </w:pPr>
      <w:r>
        <w:rPr>
          <w:sz w:val="16"/>
          <w:szCs w:val="16"/>
          <w:lang w:val="de-DE"/>
        </w:rPr>
      </w:r>
    </w:p>
    <w:p>
      <w:pPr>
        <w:pStyle w:val="Default"/>
        <w:pBdr>
          <w:top w:val="single" w:sz="4" w:space="1" w:color="00000A"/>
          <w:left w:val="single" w:sz="4" w:space="4" w:color="00000A"/>
          <w:bottom w:val="single" w:sz="4" w:space="1" w:color="00000A"/>
          <w:right w:val="single" w:sz="4" w:space="4" w:color="00000A"/>
        </w:pBdr>
        <w:rPr>
          <w:b/>
          <w:b/>
          <w:bCs/>
          <w:sz w:val="18"/>
          <w:szCs w:val="18"/>
        </w:rPr>
      </w:pPr>
      <w:r>
        <w:rPr>
          <w:b/>
          <w:bCs/>
          <w:sz w:val="18"/>
          <w:szCs w:val="18"/>
        </w:rPr>
        <w:t xml:space="preserve">Wie kann ich mich vorbereiten? </w:t>
      </w:r>
    </w:p>
    <w:p>
      <w:pPr>
        <w:pStyle w:val="Normal"/>
        <w:pBdr>
          <w:top w:val="single" w:sz="4" w:space="1" w:color="00000A"/>
          <w:left w:val="single" w:sz="4" w:space="4" w:color="00000A"/>
          <w:bottom w:val="single" w:sz="4" w:space="1" w:color="00000A"/>
          <w:right w:val="single" w:sz="4" w:space="4" w:color="00000A"/>
        </w:pBdr>
        <w:rPr>
          <w:color w:val="FF00FF"/>
          <w:sz w:val="18"/>
          <w:szCs w:val="18"/>
          <w:lang w:val="de-DE" w:eastAsia="de-DE" w:bidi="ar-SA"/>
        </w:rPr>
      </w:pPr>
      <w:r>
        <w:rPr>
          <w:sz w:val="18"/>
          <w:szCs w:val="18"/>
          <w:lang w:val="de-DE" w:eastAsia="de-DE" w:bidi="ar-SA"/>
        </w:rPr>
        <w:t>Da der Aufbau allgemeiner Kompetenzen ein langfristiger Prozess, der über Jahre hinweg in Unterricht erfolgt, ist ein</w:t>
      </w:r>
      <w:r>
        <w:rPr>
          <w:bCs/>
          <w:sz w:val="18"/>
          <w:szCs w:val="18"/>
          <w:lang w:val="de-DE" w:eastAsia="de-DE" w:bidi="ar-SA"/>
        </w:rPr>
        <w:t xml:space="preserve"> gezieltes, umfangreiches Trainieren von Testaufgaben nicht erforderlich.</w:t>
      </w:r>
      <w:r>
        <w:rPr>
          <w:b/>
          <w:bCs/>
          <w:sz w:val="18"/>
          <w:szCs w:val="18"/>
          <w:lang w:val="de-DE" w:eastAsia="de-DE" w:bidi="ar-SA"/>
        </w:rPr>
        <w:t xml:space="preserve"> </w:t>
      </w:r>
      <w:r>
        <w:rPr>
          <w:sz w:val="18"/>
          <w:szCs w:val="18"/>
          <w:lang w:val="de-DE" w:eastAsia="de-DE" w:bidi="ar-SA"/>
        </w:rPr>
        <w:t>Sinnvoll ist es aber, die ungewohnten Aufgabenformate zu kennen.</w:t>
      </w:r>
      <w:r>
        <w:rPr>
          <w:color w:val="FF00FF"/>
          <w:sz w:val="18"/>
          <w:szCs w:val="18"/>
          <w:lang w:val="de-DE" w:eastAsia="de-DE" w:bidi="ar-SA"/>
        </w:rPr>
        <w:t> </w:t>
      </w:r>
    </w:p>
    <w:p>
      <w:pPr>
        <w:pStyle w:val="Normal"/>
        <w:pBdr>
          <w:top w:val="single" w:sz="4" w:space="1" w:color="00000A"/>
          <w:left w:val="single" w:sz="4" w:space="4" w:color="00000A"/>
          <w:bottom w:val="single" w:sz="4" w:space="1" w:color="00000A"/>
          <w:right w:val="single" w:sz="4" w:space="4" w:color="00000A"/>
        </w:pBdr>
        <w:rPr/>
      </w:pPr>
      <w:r>
        <w:rPr>
          <w:sz w:val="18"/>
          <w:szCs w:val="18"/>
          <w:lang w:val="de-DE" w:eastAsia="de-DE" w:bidi="ar-SA"/>
        </w:rPr>
        <w:t xml:space="preserve">Jeder sollte versuchen, in den Lernstandserhebungen sein Bestes zu geben. Im Unterricht werden Beispiele benannt und einzelne Übungsaufgaben bearbeitet. Weitere Beispielaufgaben findet ihr auf den Seiten des Instituts zur Qualitätsentwicklung im Bildungswesen (IQB) unter: </w:t>
      </w:r>
      <w:hyperlink r:id="rId3">
        <w:r>
          <w:rPr>
            <w:rStyle w:val="BesuchterInternetlink"/>
            <w:color w:val="0000FF"/>
            <w:sz w:val="18"/>
            <w:szCs w:val="18"/>
            <w:u w:val="single"/>
            <w:lang w:val="de-DE" w:eastAsia="de-DE" w:bidi="ar-SA"/>
          </w:rPr>
          <w:t>http://www.iqb.hu-berlin.de/vera/aufgaben</w:t>
        </w:r>
      </w:hyperlink>
      <w:r>
        <w:rPr>
          <w:sz w:val="18"/>
          <w:szCs w:val="18"/>
          <w:lang w:val="de-DE" w:eastAsia="de-DE" w:bidi="ar-SA"/>
        </w:rPr>
        <w:t>.</w:t>
      </w:r>
    </w:p>
    <w:p>
      <w:pPr>
        <w:pStyle w:val="Default"/>
        <w:rPr/>
      </w:pPr>
      <w:r>
        <w:rPr/>
        <w:drawing>
          <wp:inline distT="0" distB="0" distL="0" distR="0">
            <wp:extent cx="361950" cy="533400"/>
            <wp:effectExtent l="0" t="0" r="0" b="0"/>
            <wp:docPr id="4" name="Bild 2" descr="Vo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Vollbild anzeigen"/>
                    <pic:cNvPicPr>
                      <a:picLocks noChangeAspect="1" noChangeArrowheads="1"/>
                    </pic:cNvPicPr>
                  </pic:nvPicPr>
                  <pic:blipFill>
                    <a:blip r:embed="rId4"/>
                    <a:stretch>
                      <a:fillRect/>
                    </a:stretch>
                  </pic:blipFill>
                  <pic:spPr bwMode="auto">
                    <a:xfrm>
                      <a:off x="0" y="0"/>
                      <a:ext cx="361950" cy="533400"/>
                    </a:xfrm>
                    <a:prstGeom prst="rect">
                      <a:avLst/>
                    </a:prstGeom>
                  </pic:spPr>
                </pic:pic>
              </a:graphicData>
            </a:graphic>
          </wp:inline>
        </w:drawing>
      </w:r>
      <w:r>
        <w:rPr>
          <w:rFonts w:cs="Calibri" w:ascii="Calibri" w:hAnsi="Calibri"/>
          <w:b/>
          <w:bCs/>
          <w:sz w:val="23"/>
          <w:szCs w:val="23"/>
        </w:rPr>
        <w:t>Praktische Tipps zur Bearbeitung der Tests:</w:t>
      </w:r>
    </w:p>
    <w:tbl>
      <w:tblPr>
        <w:tblW w:w="10031" w:type="dxa"/>
        <w:jc w:val="left"/>
        <w:tblInd w:w="-20" w:type="dxa"/>
        <w:tblCellMar>
          <w:top w:w="0" w:type="dxa"/>
          <w:left w:w="88" w:type="dxa"/>
          <w:bottom w:w="0" w:type="dxa"/>
          <w:right w:w="108" w:type="dxa"/>
        </w:tblCellMar>
        <w:tblLook w:val="0000"/>
      </w:tblPr>
      <w:tblGrid>
        <w:gridCol w:w="810"/>
        <w:gridCol w:w="9220"/>
      </w:tblGrid>
      <w:tr>
        <w:trPr>
          <w:trHeight w:val="423"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 xml:space="preserve">1 </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Calibri" w:hAnsi="Calibri"/>
                <w:sz w:val="20"/>
                <w:szCs w:val="20"/>
                <w:lang w:val="de-DE"/>
              </w:rPr>
              <w:t>Kontrolliere deine Arbeitsmaterialien am Tag vor dem Test sorgfältig. Du solltest einen Füller, eine Uhr, einen Bleistift, einen Radiergummi, einen Kugelschreiber, ein Lineal und einige Bundstifte (ohne Rot!) bereithalten. Für Mathematik sind auch ein Geodreieck, ein Zirkel und der eingeführte Taschenrechner mitzubringen. Zusätzliches Papier wird, falls erforderlich, von der Fachlehrkraft  verteilt.</w:t>
            </w:r>
          </w:p>
        </w:tc>
      </w:tr>
      <w:tr>
        <w:trPr>
          <w:trHeight w:val="277"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 xml:space="preserve">2 </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Behalte während des Tests die Zeit im Auge – ohne dich nervös zu machen. Die LSE dauert mit der Einführung insgesamt 90 Minuten. </w:t>
            </w:r>
          </w:p>
        </w:tc>
      </w:tr>
      <w:tr>
        <w:trPr>
          <w:trHeight w:val="277"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 xml:space="preserve">3 </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Verschaffe dir einen kurzen Überblick über die Aufgaben. </w:t>
            </w:r>
          </w:p>
        </w:tc>
      </w:tr>
      <w:tr>
        <w:trPr>
          <w:trHeight w:val="292"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4</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Lies dir die Aufgabe sehr genau durch und bearbeite sie genau so, wie es in der Aufgabenstellung formuliert ist. </w:t>
            </w:r>
          </w:p>
        </w:tc>
      </w:tr>
      <w:tr>
        <w:trPr>
          <w:trHeight w:val="292"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 xml:space="preserve">5 </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Erledige  die Aufgaben der Reihe nach, aber halte dich nicht zu lange bei Aufgaben auf, die du nicht auf Anhieb lösen kannst. Vielleicht fällt dir später die Lösung noch ein. </w:t>
            </w:r>
          </w:p>
        </w:tc>
      </w:tr>
      <w:tr>
        <w:trPr>
          <w:trHeight w:val="292"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6</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Bevor du gar nichts hinschreibst, solltest du bei den Aufgaben zum Ankreuzen unbedingt raten und zumindest ein Kästchen markieren. Du hast dann immer noch eine Chance auf die richtige Lösung. </w:t>
            </w:r>
          </w:p>
        </w:tc>
      </w:tr>
      <w:tr>
        <w:trPr>
          <w:trHeight w:val="292"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7</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Kontrolliere am Ende alle Lösungen noch einmal und suche nach eventuellen Fehlern. Nutze die Zeit. So kannst du oft noch Kleinigkeiten verbessern. </w:t>
            </w:r>
          </w:p>
        </w:tc>
      </w:tr>
      <w:tr>
        <w:trPr>
          <w:trHeight w:val="423" w:hRule="atLeast"/>
        </w:trPr>
        <w:tc>
          <w:tcPr>
            <w:tcW w:w="81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Splash" w:hAnsi="Splash" w:cs="Splash"/>
                <w:b/>
                <w:b/>
                <w:i/>
                <w:i/>
                <w:sz w:val="32"/>
                <w:szCs w:val="32"/>
              </w:rPr>
            </w:pPr>
            <w:r>
              <w:rPr>
                <w:rFonts w:cs="Splash" w:ascii="Splash" w:hAnsi="Splash"/>
                <w:b/>
                <w:i/>
                <w:sz w:val="32"/>
                <w:szCs w:val="32"/>
              </w:rPr>
              <w:t>8</w:t>
            </w:r>
          </w:p>
        </w:tc>
        <w:tc>
          <w:tcPr>
            <w:tcW w:w="9220" w:type="dxa"/>
            <w:tcBorders>
              <w:top w:val="single" w:sz="4" w:space="0" w:color="00000A"/>
              <w:left w:val="single" w:sz="4" w:space="0" w:color="00000A"/>
              <w:bottom w:val="single" w:sz="4" w:space="0" w:color="00000A"/>
              <w:right w:val="single" w:sz="4" w:space="0" w:color="00000A"/>
            </w:tcBorders>
            <w:shd w:fill="auto" w:val="clear"/>
          </w:tcPr>
          <w:p>
            <w:pPr>
              <w:pStyle w:val="Default"/>
              <w:rPr>
                <w:rFonts w:ascii="Calibri" w:hAnsi="Calibri" w:cs="Calibri"/>
                <w:sz w:val="20"/>
                <w:szCs w:val="20"/>
              </w:rPr>
            </w:pPr>
            <w:r>
              <w:rPr>
                <w:rFonts w:cs="Calibri" w:ascii="Calibri" w:hAnsi="Calibri"/>
                <w:sz w:val="20"/>
                <w:szCs w:val="20"/>
              </w:rPr>
              <w:t xml:space="preserve">Arbeite ruhig und zielstrebig. Da du durch den Unterricht umfassend vorbereitet bist, brauchst du nicht aufgeregt zu sein. Für ein gutes Ergebnis musst du nicht jede Aufgabe richtig haben. Du brauchst also nicht nervös zu werden, wenn du die eine oder andere Aufgabe nicht lösen kannst. </w:t>
            </w:r>
          </w:p>
        </w:tc>
      </w:tr>
    </w:tbl>
    <w:p>
      <w:pPr>
        <w:pStyle w:val="Normal"/>
        <w:ind w:left="0" w:right="0" w:hanging="0"/>
        <w:jc w:val="right"/>
        <w:rPr/>
      </w:pPr>
      <w:r>
        <w:rPr>
          <w:rFonts w:eastAsia="Times New Roman" w:cs="Times New Roman"/>
          <w:color w:val="00000A"/>
          <w:kern w:val="0"/>
          <w:sz w:val="16"/>
          <w:szCs w:val="16"/>
          <w:lang w:val="de-DE" w:eastAsia="en-US" w:bidi="en-US"/>
        </w:rPr>
        <w:t>Oktober</w:t>
      </w:r>
      <w:r>
        <w:rPr>
          <w:sz w:val="16"/>
          <w:szCs w:val="16"/>
          <w:lang w:val="de-DE"/>
        </w:rPr>
        <w:t xml:space="preserve"> 202</w:t>
      </w:r>
      <w:r>
        <w:rPr>
          <w:sz w:val="16"/>
          <w:szCs w:val="16"/>
          <w:lang w:val="de-DE"/>
        </w:rPr>
        <w:t>2</w:t>
      </w:r>
      <w:r>
        <w:rPr>
          <w:sz w:val="16"/>
          <w:szCs w:val="16"/>
          <w:lang w:val="de-DE"/>
        </w:rPr>
        <w:t xml:space="preserve"> / HB</w:t>
      </w:r>
    </w:p>
    <w:sectPr>
      <w:type w:val="nextPage"/>
      <w:pgSz w:w="11906" w:h="16838"/>
      <w:pgMar w:left="1418" w:right="1418" w:header="0" w:top="851"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plash">
    <w:charset w:val="00"/>
    <w:family w:val="roman"/>
    <w:pitch w:val="variable"/>
  </w:font>
</w:fonts>
</file>

<file path=word/settings.xml><?xml version="1.0" encoding="utf-8"?>
<w:settings xmlns:w="http://schemas.openxmlformats.org/wordprocessingml/2006/main">
  <w:zoom w:percent="15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5b0a"/>
    <w:pPr>
      <w:widowControl/>
      <w:bidi w:val="0"/>
      <w:jc w:val="left"/>
    </w:pPr>
    <w:rPr>
      <w:rFonts w:ascii="Times New Roman" w:hAnsi="Times New Roman" w:eastAsia="Times New Roman" w:cs="Times New Roman"/>
      <w:color w:val="00000A"/>
      <w:kern w:val="0"/>
      <w:sz w:val="24"/>
      <w:szCs w:val="24"/>
      <w:lang w:val="en-US" w:eastAsia="en-US" w:bidi="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005d4"/>
    <w:rPr>
      <w:b/>
      <w:bCs/>
    </w:rPr>
  </w:style>
  <w:style w:type="character" w:styleId="SprechblasentextZchn" w:customStyle="1">
    <w:name w:val="Sprechblasentext Zchn"/>
    <w:basedOn w:val="DefaultParagraphFont"/>
    <w:link w:val="Sprechblasentext"/>
    <w:uiPriority w:val="99"/>
    <w:semiHidden/>
    <w:qFormat/>
    <w:rsid w:val="00f85461"/>
    <w:rPr>
      <w:rFonts w:ascii="Tahoma" w:hAnsi="Tahoma" w:eastAsia="Times New Roman" w:cs="Tahoma"/>
      <w:sz w:val="16"/>
      <w:szCs w:val="16"/>
      <w:lang w:val="en-US" w:eastAsia="en-US" w:bidi="en-US"/>
    </w:rPr>
  </w:style>
  <w:style w:type="character" w:styleId="Internetlink">
    <w:name w:val="Internetlink"/>
    <w:qFormat/>
    <w:rPr>
      <w:color w:val="000080"/>
      <w:u w:val="single"/>
      <w:lang w:val="zxx" w:eastAsia="zxx" w:bidi="zxx"/>
    </w:rPr>
  </w:style>
  <w:style w:type="character" w:styleId="BesuchterInternetlink">
    <w:name w:val="Besuchter Internetlink"/>
    <w:qFormat/>
    <w:rPr>
      <w:color w:val="800000"/>
      <w:u w:val="single"/>
      <w:lang w:val="zxx" w:eastAsia="zxx" w:bidi="zxx"/>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Default" w:customStyle="1">
    <w:name w:val="Default"/>
    <w:qFormat/>
    <w:rsid w:val="00a936fd"/>
    <w:pPr>
      <w:widowControl/>
      <w:bidi w:val="0"/>
      <w:jc w:val="left"/>
    </w:pPr>
    <w:rPr>
      <w:rFonts w:ascii="Tahoma" w:hAnsi="Tahoma" w:eastAsia="Calibri" w:cs="Tahoma"/>
      <w:color w:val="000000"/>
      <w:kern w:val="0"/>
      <w:sz w:val="24"/>
      <w:szCs w:val="24"/>
      <w:lang w:val="de-DE" w:eastAsia="de-DE" w:bidi="ar-SA"/>
    </w:rPr>
  </w:style>
  <w:style w:type="paragraph" w:styleId="BalloonText">
    <w:name w:val="Balloon Text"/>
    <w:basedOn w:val="Normal"/>
    <w:link w:val="SprechblasentextZchn"/>
    <w:uiPriority w:val="99"/>
    <w:semiHidden/>
    <w:unhideWhenUsed/>
    <w:qFormat/>
    <w:rsid w:val="00f85461"/>
    <w:pPr/>
    <w:rPr>
      <w:rFonts w:ascii="Tahoma" w:hAnsi="Tahoma" w:cs="Tahoma"/>
      <w:sz w:val="16"/>
      <w:szCs w:val="16"/>
    </w:rPr>
  </w:style>
  <w:style w:type="paragraph" w:styleId="Rahmeninhalt">
    <w:name w:val="Rahmeninhalt"/>
    <w:basedOn w:val="Normal"/>
    <w:qFormat/>
    <w:pPr/>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qb.hu-berlin.de/vera/aufgaben" TargetMode="External"/><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D43EE-3948-4DA3-8003-4A3F11C0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LibreOffice/6.3.1.2$Windows_X86_64 LibreOffice_project/b79626edf0065ac373bd1df5c28bd630b4424273</Application>
  <Pages>2</Pages>
  <Words>559</Words>
  <Characters>3463</Characters>
  <CharactersWithSpaces>4003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2016-09-10T20:09:00Z</dcterms:created>
  <dc:creator>Admin</dc:creator>
  <dc:description/>
  <dc:language>de-DE</dc:language>
  <cp:lastModifiedBy/>
  <cp:lastPrinted>2013-02-10T18:57:00Z</cp:lastPrinted>
  <dcterms:modified xsi:type="dcterms:W3CDTF">2022-10-25T20:07:28Z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